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56E3" w14:textId="77777777" w:rsidR="001035FD" w:rsidRDefault="00D300F8" w:rsidP="00D300F8">
      <w:pPr>
        <w:jc w:val="center"/>
        <w:rPr>
          <w:rFonts w:ascii="Times New Roman" w:hAnsi="Times New Roman" w:cs="Times New Roman"/>
          <w:sz w:val="28"/>
          <w:szCs w:val="28"/>
          <w:lang w:val="uk-UA"/>
        </w:rPr>
      </w:pPr>
      <w:r>
        <w:rPr>
          <w:rFonts w:ascii="Times New Roman" w:hAnsi="Times New Roman" w:cs="Times New Roman"/>
          <w:sz w:val="28"/>
          <w:szCs w:val="28"/>
          <w:lang w:val="uk-UA"/>
        </w:rPr>
        <w:t>Опис проекту/роботи/дисертації</w:t>
      </w:r>
    </w:p>
    <w:tbl>
      <w:tblPr>
        <w:tblStyle w:val="a3"/>
        <w:tblW w:w="0" w:type="auto"/>
        <w:tblLook w:val="04A0" w:firstRow="1" w:lastRow="0" w:firstColumn="1" w:lastColumn="0" w:noHBand="0" w:noVBand="1"/>
      </w:tblPr>
      <w:tblGrid>
        <w:gridCol w:w="3061"/>
        <w:gridCol w:w="6567"/>
      </w:tblGrid>
      <w:tr w:rsidR="00D300F8" w:rsidRPr="00E06150" w14:paraId="5E5B9197" w14:textId="77777777" w:rsidTr="00E06150">
        <w:tc>
          <w:tcPr>
            <w:tcW w:w="3061" w:type="dxa"/>
          </w:tcPr>
          <w:p w14:paraId="15302BBE" w14:textId="77777777" w:rsidR="00D300F8" w:rsidRPr="00E06150" w:rsidRDefault="000470AE" w:rsidP="00D300F8">
            <w:pPr>
              <w:rPr>
                <w:rFonts w:ascii="Times New Roman" w:hAnsi="Times New Roman" w:cs="Times New Roman"/>
                <w:sz w:val="24"/>
                <w:szCs w:val="24"/>
                <w:lang w:val="uk-UA"/>
              </w:rPr>
            </w:pPr>
            <w:r>
              <w:rPr>
                <w:rFonts w:ascii="Times New Roman" w:hAnsi="Times New Roman" w:cs="Times New Roman"/>
                <w:sz w:val="24"/>
                <w:szCs w:val="24"/>
                <w:lang w:val="uk-UA"/>
              </w:rPr>
              <w:t>Вид матеріалу</w:t>
            </w:r>
          </w:p>
        </w:tc>
        <w:tc>
          <w:tcPr>
            <w:tcW w:w="6567" w:type="dxa"/>
          </w:tcPr>
          <w:p w14:paraId="740AD35D" w14:textId="77777777" w:rsidR="00D300F8" w:rsidRPr="00E06150" w:rsidRDefault="000470AE" w:rsidP="00D300F8">
            <w:pPr>
              <w:rPr>
                <w:rFonts w:ascii="Times New Roman" w:hAnsi="Times New Roman" w:cs="Times New Roman"/>
                <w:sz w:val="24"/>
                <w:szCs w:val="24"/>
                <w:lang w:val="uk-UA"/>
              </w:rPr>
            </w:pPr>
            <w:r w:rsidRPr="000470AE">
              <w:rPr>
                <w:rFonts w:ascii="Times New Roman" w:hAnsi="Times New Roman" w:cs="Times New Roman"/>
                <w:color w:val="FF0000"/>
                <w:sz w:val="24"/>
                <w:szCs w:val="24"/>
                <w:lang w:val="uk-UA"/>
              </w:rPr>
              <w:t>Магістерська дисертація</w:t>
            </w:r>
          </w:p>
        </w:tc>
      </w:tr>
      <w:tr w:rsidR="000470AE" w:rsidRPr="00E06150" w14:paraId="0B43B1FD" w14:textId="77777777" w:rsidTr="00E06150">
        <w:tc>
          <w:tcPr>
            <w:tcW w:w="3061" w:type="dxa"/>
          </w:tcPr>
          <w:p w14:paraId="79ED42F7" w14:textId="77777777" w:rsidR="000470AE" w:rsidRPr="00E06150" w:rsidRDefault="000470AE" w:rsidP="000470AE">
            <w:pPr>
              <w:rPr>
                <w:rFonts w:ascii="Times New Roman" w:hAnsi="Times New Roman" w:cs="Times New Roman"/>
                <w:sz w:val="24"/>
                <w:szCs w:val="24"/>
                <w:lang w:val="uk-UA"/>
              </w:rPr>
            </w:pPr>
            <w:r w:rsidRPr="00E06150">
              <w:rPr>
                <w:rFonts w:ascii="Times New Roman" w:hAnsi="Times New Roman" w:cs="Times New Roman"/>
                <w:sz w:val="24"/>
                <w:szCs w:val="24"/>
                <w:lang w:val="uk-UA"/>
              </w:rPr>
              <w:t>Автор (П. І. Б.)</w:t>
            </w:r>
          </w:p>
        </w:tc>
        <w:tc>
          <w:tcPr>
            <w:tcW w:w="6567" w:type="dxa"/>
          </w:tcPr>
          <w:p w14:paraId="1E2EFA44" w14:textId="77777777" w:rsidR="000470AE" w:rsidRPr="00E06150" w:rsidRDefault="000470AE" w:rsidP="000470AE">
            <w:pPr>
              <w:rPr>
                <w:rFonts w:ascii="Times New Roman" w:hAnsi="Times New Roman" w:cs="Times New Roman"/>
                <w:sz w:val="24"/>
                <w:szCs w:val="24"/>
                <w:lang w:val="uk-UA"/>
              </w:rPr>
            </w:pPr>
            <w:r w:rsidRPr="00E06150">
              <w:rPr>
                <w:rFonts w:ascii="Times New Roman" w:hAnsi="Times New Roman" w:cs="Times New Roman"/>
                <w:color w:val="FF0000"/>
                <w:sz w:val="24"/>
                <w:szCs w:val="24"/>
                <w:lang w:val="uk-UA"/>
              </w:rPr>
              <w:t>Абдулаєв Сергій Абдуллайович</w:t>
            </w:r>
          </w:p>
        </w:tc>
      </w:tr>
      <w:tr w:rsidR="000470AE" w:rsidRPr="00E06150" w14:paraId="0C0C2F26" w14:textId="77777777" w:rsidTr="00E06150">
        <w:tc>
          <w:tcPr>
            <w:tcW w:w="3061" w:type="dxa"/>
          </w:tcPr>
          <w:p w14:paraId="3F0FDBA0" w14:textId="77777777" w:rsidR="000470AE" w:rsidRPr="00E06150" w:rsidRDefault="000470AE" w:rsidP="000470AE">
            <w:pPr>
              <w:rPr>
                <w:rFonts w:ascii="Times New Roman" w:hAnsi="Times New Roman" w:cs="Times New Roman"/>
                <w:sz w:val="24"/>
                <w:szCs w:val="24"/>
                <w:lang w:val="uk-UA"/>
              </w:rPr>
            </w:pPr>
            <w:r w:rsidRPr="00E06150">
              <w:rPr>
                <w:rFonts w:ascii="Times New Roman" w:hAnsi="Times New Roman" w:cs="Times New Roman"/>
                <w:sz w:val="24"/>
                <w:szCs w:val="24"/>
                <w:lang w:val="uk-UA"/>
              </w:rPr>
              <w:t>Науковий керівник (П.І.Б.)</w:t>
            </w:r>
          </w:p>
        </w:tc>
        <w:tc>
          <w:tcPr>
            <w:tcW w:w="6567" w:type="dxa"/>
          </w:tcPr>
          <w:p w14:paraId="5E69631D" w14:textId="77777777" w:rsidR="000470AE" w:rsidRPr="00E06150" w:rsidRDefault="000470AE" w:rsidP="000470AE">
            <w:pPr>
              <w:rPr>
                <w:rFonts w:ascii="Times New Roman" w:hAnsi="Times New Roman" w:cs="Times New Roman"/>
                <w:color w:val="FF0000"/>
                <w:sz w:val="24"/>
                <w:szCs w:val="24"/>
                <w:lang w:val="uk-UA"/>
              </w:rPr>
            </w:pPr>
            <w:r w:rsidRPr="00E06150">
              <w:rPr>
                <w:rFonts w:ascii="Times New Roman" w:hAnsi="Times New Roman" w:cs="Times New Roman"/>
                <w:color w:val="FF0000"/>
                <w:sz w:val="24"/>
                <w:szCs w:val="24"/>
                <w:lang w:val="uk-UA"/>
              </w:rPr>
              <w:t>Кирик Валерій Валентинович</w:t>
            </w:r>
          </w:p>
        </w:tc>
      </w:tr>
      <w:tr w:rsidR="000470AE" w:rsidRPr="000470AE" w14:paraId="2AD12A17" w14:textId="77777777" w:rsidTr="00E06150">
        <w:tc>
          <w:tcPr>
            <w:tcW w:w="3061" w:type="dxa"/>
          </w:tcPr>
          <w:p w14:paraId="4A796F97" w14:textId="77777777" w:rsidR="000470AE" w:rsidRPr="00E06150" w:rsidRDefault="000470AE" w:rsidP="000470AE">
            <w:pPr>
              <w:rPr>
                <w:rFonts w:ascii="Times New Roman" w:hAnsi="Times New Roman" w:cs="Times New Roman"/>
                <w:sz w:val="24"/>
                <w:szCs w:val="24"/>
                <w:lang w:val="uk-UA"/>
              </w:rPr>
            </w:pPr>
            <w:r w:rsidRPr="00E06150">
              <w:rPr>
                <w:rFonts w:ascii="Times New Roman" w:hAnsi="Times New Roman" w:cs="Times New Roman"/>
                <w:sz w:val="24"/>
                <w:szCs w:val="24"/>
                <w:lang w:val="uk-UA"/>
              </w:rPr>
              <w:t>Назва матеріалу</w:t>
            </w:r>
          </w:p>
        </w:tc>
        <w:tc>
          <w:tcPr>
            <w:tcW w:w="6567" w:type="dxa"/>
          </w:tcPr>
          <w:p w14:paraId="2FBAC2D5" w14:textId="77777777" w:rsidR="000470AE" w:rsidRPr="00E06150" w:rsidRDefault="000470AE" w:rsidP="000470AE">
            <w:pPr>
              <w:jc w:val="both"/>
              <w:rPr>
                <w:rFonts w:ascii="Times New Roman" w:hAnsi="Times New Roman" w:cs="Times New Roman"/>
                <w:color w:val="FF0000"/>
                <w:sz w:val="24"/>
                <w:szCs w:val="24"/>
                <w:lang w:val="uk-UA"/>
              </w:rPr>
            </w:pPr>
            <w:r w:rsidRPr="00E06150">
              <w:rPr>
                <w:rFonts w:ascii="Times New Roman" w:hAnsi="Times New Roman" w:cs="Times New Roman"/>
                <w:color w:val="FF0000"/>
                <w:sz w:val="24"/>
                <w:szCs w:val="24"/>
                <w:lang w:val="uk-UA"/>
              </w:rPr>
              <w:t xml:space="preserve">Визначення місць встановлення обмежувачів </w:t>
            </w:r>
            <w:r w:rsidRPr="00E06150">
              <w:rPr>
                <w:rFonts w:ascii="Times New Roman" w:hAnsi="Times New Roman" w:cs="Times New Roman"/>
                <w:color w:val="FF0000"/>
                <w:spacing w:val="-6"/>
                <w:sz w:val="24"/>
                <w:szCs w:val="24"/>
                <w:lang w:val="uk-UA"/>
              </w:rPr>
              <w:t>перенапруги в лініях електропередавання 35-110 кВ</w:t>
            </w:r>
          </w:p>
        </w:tc>
      </w:tr>
      <w:tr w:rsidR="000470AE" w:rsidRPr="00E06150" w14:paraId="3EBEDE84" w14:textId="77777777" w:rsidTr="00E06150">
        <w:tc>
          <w:tcPr>
            <w:tcW w:w="3061" w:type="dxa"/>
          </w:tcPr>
          <w:p w14:paraId="35487D7D" w14:textId="77777777" w:rsidR="000470AE" w:rsidRPr="00E06150" w:rsidRDefault="000470AE" w:rsidP="000470AE">
            <w:pPr>
              <w:rPr>
                <w:rFonts w:ascii="Times New Roman" w:hAnsi="Times New Roman" w:cs="Times New Roman"/>
                <w:sz w:val="24"/>
                <w:szCs w:val="24"/>
                <w:lang w:val="uk-UA"/>
              </w:rPr>
            </w:pPr>
            <w:r w:rsidRPr="00E06150">
              <w:rPr>
                <w:rFonts w:ascii="Times New Roman" w:hAnsi="Times New Roman" w:cs="Times New Roman"/>
                <w:sz w:val="24"/>
                <w:szCs w:val="24"/>
                <w:lang w:val="uk-UA"/>
              </w:rPr>
              <w:t>Рік захисту</w:t>
            </w:r>
          </w:p>
        </w:tc>
        <w:tc>
          <w:tcPr>
            <w:tcW w:w="6567" w:type="dxa"/>
          </w:tcPr>
          <w:p w14:paraId="3902E2AD" w14:textId="77777777" w:rsidR="000470AE" w:rsidRPr="00E06150" w:rsidRDefault="000470AE" w:rsidP="000470AE">
            <w:pPr>
              <w:rPr>
                <w:rFonts w:ascii="Times New Roman" w:hAnsi="Times New Roman" w:cs="Times New Roman"/>
                <w:color w:val="FF0000"/>
                <w:sz w:val="24"/>
                <w:szCs w:val="24"/>
                <w:lang w:val="uk-UA"/>
              </w:rPr>
            </w:pPr>
            <w:r w:rsidRPr="00E06150">
              <w:rPr>
                <w:rFonts w:ascii="Times New Roman" w:hAnsi="Times New Roman" w:cs="Times New Roman"/>
                <w:color w:val="FF0000"/>
                <w:sz w:val="24"/>
                <w:szCs w:val="24"/>
                <w:lang w:val="uk-UA"/>
              </w:rPr>
              <w:t>2018 р.</w:t>
            </w:r>
          </w:p>
        </w:tc>
      </w:tr>
      <w:tr w:rsidR="000470AE" w:rsidRPr="00E06150" w14:paraId="40DC0928" w14:textId="77777777" w:rsidTr="00E06150">
        <w:tc>
          <w:tcPr>
            <w:tcW w:w="3061" w:type="dxa"/>
          </w:tcPr>
          <w:p w14:paraId="3B6B355C" w14:textId="77777777" w:rsidR="000470AE" w:rsidRPr="00E06150" w:rsidRDefault="000470AE" w:rsidP="000470AE">
            <w:pPr>
              <w:rPr>
                <w:rFonts w:ascii="Times New Roman" w:hAnsi="Times New Roman" w:cs="Times New Roman"/>
                <w:spacing w:val="-6"/>
                <w:sz w:val="24"/>
                <w:szCs w:val="24"/>
                <w:lang w:val="uk-UA"/>
              </w:rPr>
            </w:pPr>
            <w:r w:rsidRPr="00E06150">
              <w:rPr>
                <w:rFonts w:ascii="Times New Roman" w:hAnsi="Times New Roman" w:cs="Times New Roman"/>
                <w:spacing w:val="-6"/>
                <w:sz w:val="24"/>
                <w:szCs w:val="24"/>
                <w:lang w:val="uk-UA"/>
              </w:rPr>
              <w:t>Кількість сторінок матеріалу</w:t>
            </w:r>
          </w:p>
        </w:tc>
        <w:tc>
          <w:tcPr>
            <w:tcW w:w="6567" w:type="dxa"/>
          </w:tcPr>
          <w:p w14:paraId="1AEAE83C" w14:textId="77777777" w:rsidR="000470AE" w:rsidRPr="00E06150" w:rsidRDefault="000470AE" w:rsidP="000470AE">
            <w:pPr>
              <w:rPr>
                <w:rFonts w:ascii="Times New Roman" w:hAnsi="Times New Roman" w:cs="Times New Roman"/>
                <w:color w:val="FF0000"/>
                <w:sz w:val="24"/>
                <w:szCs w:val="24"/>
                <w:lang w:val="uk-UA"/>
              </w:rPr>
            </w:pPr>
            <w:r w:rsidRPr="00E06150">
              <w:rPr>
                <w:rFonts w:ascii="Times New Roman" w:hAnsi="Times New Roman" w:cs="Times New Roman"/>
                <w:color w:val="FF0000"/>
                <w:sz w:val="24"/>
                <w:szCs w:val="24"/>
                <w:lang w:val="uk-UA"/>
              </w:rPr>
              <w:t>112 с.</w:t>
            </w:r>
          </w:p>
        </w:tc>
      </w:tr>
      <w:tr w:rsidR="000470AE" w:rsidRPr="000470AE" w14:paraId="6D1C34F4" w14:textId="77777777" w:rsidTr="00E06150">
        <w:tc>
          <w:tcPr>
            <w:tcW w:w="3061" w:type="dxa"/>
          </w:tcPr>
          <w:p w14:paraId="545828AF" w14:textId="77777777" w:rsidR="000470AE" w:rsidRPr="00E06150" w:rsidRDefault="000470AE" w:rsidP="000470AE">
            <w:pPr>
              <w:rPr>
                <w:rFonts w:ascii="Times New Roman" w:hAnsi="Times New Roman" w:cs="Times New Roman"/>
                <w:spacing w:val="-6"/>
                <w:sz w:val="24"/>
                <w:szCs w:val="24"/>
                <w:lang w:val="uk-UA"/>
              </w:rPr>
            </w:pPr>
            <w:r w:rsidRPr="00E06150">
              <w:rPr>
                <w:rFonts w:ascii="Times New Roman" w:hAnsi="Times New Roman" w:cs="Times New Roman"/>
                <w:spacing w:val="-6"/>
                <w:sz w:val="24"/>
                <w:szCs w:val="24"/>
                <w:lang w:val="uk-UA"/>
              </w:rPr>
              <w:t>Бібліографічний опис</w:t>
            </w:r>
          </w:p>
        </w:tc>
        <w:tc>
          <w:tcPr>
            <w:tcW w:w="6567" w:type="dxa"/>
          </w:tcPr>
          <w:p w14:paraId="551DA3A8" w14:textId="1528B543" w:rsidR="000470AE" w:rsidRPr="00E06150" w:rsidRDefault="000470AE" w:rsidP="000470AE">
            <w:pPr>
              <w:jc w:val="both"/>
              <w:rPr>
                <w:rFonts w:ascii="Times New Roman" w:hAnsi="Times New Roman" w:cs="Times New Roman"/>
                <w:color w:val="FF0000"/>
                <w:sz w:val="24"/>
                <w:szCs w:val="24"/>
                <w:lang w:val="uk-UA"/>
              </w:rPr>
            </w:pPr>
            <w:r w:rsidRPr="00E06150">
              <w:rPr>
                <w:rFonts w:ascii="Times New Roman" w:hAnsi="Times New Roman" w:cs="Times New Roman"/>
                <w:color w:val="FF0000"/>
                <w:sz w:val="24"/>
                <w:szCs w:val="24"/>
                <w:lang w:val="uk-UA"/>
              </w:rPr>
              <w:t xml:space="preserve">Абдулаєв, С. А. Визначення місць встановлення обмежувачів </w:t>
            </w:r>
            <w:r w:rsidRPr="00E06150">
              <w:rPr>
                <w:rFonts w:ascii="Times New Roman" w:hAnsi="Times New Roman" w:cs="Times New Roman"/>
                <w:color w:val="FF0000"/>
                <w:spacing w:val="-6"/>
                <w:sz w:val="24"/>
                <w:szCs w:val="24"/>
                <w:lang w:val="uk-UA"/>
              </w:rPr>
              <w:t xml:space="preserve">перенапруги в лініях електропередавання 35-110 кВ: магістерська дис.: 141 Електроенергетика, електротехніка та електромеханіка, </w:t>
            </w:r>
            <w:r w:rsidR="00A21B4F">
              <w:rPr>
                <w:rFonts w:ascii="Times New Roman" w:hAnsi="Times New Roman" w:cs="Times New Roman"/>
                <w:color w:val="FF0000"/>
                <w:spacing w:val="-6"/>
                <w:sz w:val="24"/>
                <w:szCs w:val="24"/>
                <w:lang w:val="uk-UA"/>
              </w:rPr>
              <w:t>освітня програма</w:t>
            </w:r>
            <w:r w:rsidRPr="00E06150">
              <w:rPr>
                <w:rFonts w:ascii="Times New Roman" w:hAnsi="Times New Roman" w:cs="Times New Roman"/>
                <w:color w:val="FF0000"/>
                <w:spacing w:val="-6"/>
                <w:sz w:val="24"/>
                <w:szCs w:val="24"/>
                <w:lang w:val="uk-UA"/>
              </w:rPr>
              <w:t xml:space="preserve"> «Електричні </w:t>
            </w:r>
            <w:r w:rsidRPr="00E06150">
              <w:rPr>
                <w:rFonts w:ascii="Times New Roman" w:hAnsi="Times New Roman" w:cs="Times New Roman"/>
                <w:color w:val="FF0000"/>
                <w:spacing w:val="-8"/>
                <w:sz w:val="24"/>
                <w:szCs w:val="24"/>
                <w:lang w:val="uk-UA"/>
              </w:rPr>
              <w:t xml:space="preserve">системи і </w:t>
            </w:r>
            <w:r w:rsidRPr="00E06150">
              <w:rPr>
                <w:rFonts w:ascii="Times New Roman" w:hAnsi="Times New Roman" w:cs="Times New Roman"/>
                <w:color w:val="FF0000"/>
                <w:sz w:val="24"/>
                <w:szCs w:val="24"/>
                <w:lang w:val="uk-UA"/>
              </w:rPr>
              <w:t>мережі» / Абдулаєв Сергій Абдуллайович. – Київ, 2018. – 112 с.</w:t>
            </w:r>
          </w:p>
        </w:tc>
      </w:tr>
      <w:tr w:rsidR="00EE4942" w:rsidRPr="000470AE" w14:paraId="726740C5" w14:textId="77777777" w:rsidTr="00E06150">
        <w:tc>
          <w:tcPr>
            <w:tcW w:w="3061" w:type="dxa"/>
          </w:tcPr>
          <w:p w14:paraId="6E285512" w14:textId="77777777" w:rsidR="00EE4942" w:rsidRPr="00E06150" w:rsidRDefault="00EE4942" w:rsidP="00EE4942">
            <w:pPr>
              <w:rPr>
                <w:rFonts w:ascii="Times New Roman" w:hAnsi="Times New Roman" w:cs="Times New Roman"/>
                <w:sz w:val="24"/>
                <w:szCs w:val="24"/>
                <w:lang w:val="uk-UA"/>
              </w:rPr>
            </w:pPr>
            <w:r w:rsidRPr="00E06150">
              <w:rPr>
                <w:rFonts w:ascii="Times New Roman" w:hAnsi="Times New Roman" w:cs="Times New Roman"/>
                <w:sz w:val="24"/>
                <w:szCs w:val="24"/>
                <w:lang w:val="uk-UA"/>
              </w:rPr>
              <w:t>УДК</w:t>
            </w:r>
          </w:p>
        </w:tc>
        <w:tc>
          <w:tcPr>
            <w:tcW w:w="6567" w:type="dxa"/>
          </w:tcPr>
          <w:p w14:paraId="1C548B0D" w14:textId="77777777" w:rsidR="00EE4942" w:rsidRPr="00E06150" w:rsidRDefault="00EE4942" w:rsidP="00EE4942">
            <w:pPr>
              <w:rPr>
                <w:rFonts w:ascii="Times New Roman" w:hAnsi="Times New Roman" w:cs="Times New Roman"/>
                <w:color w:val="FF0000"/>
                <w:sz w:val="24"/>
                <w:szCs w:val="24"/>
                <w:lang w:val="uk-UA"/>
              </w:rPr>
            </w:pPr>
            <w:r w:rsidRPr="00E06150">
              <w:rPr>
                <w:rFonts w:ascii="Times New Roman" w:hAnsi="Times New Roman" w:cs="Times New Roman"/>
                <w:color w:val="FF0000"/>
                <w:sz w:val="24"/>
                <w:szCs w:val="24"/>
                <w:lang w:val="uk-UA"/>
              </w:rPr>
              <w:t>УДК 621.311</w:t>
            </w:r>
          </w:p>
        </w:tc>
      </w:tr>
      <w:tr w:rsidR="00EE4942" w:rsidRPr="00E06150" w14:paraId="7202D807" w14:textId="77777777" w:rsidTr="00E06150">
        <w:tc>
          <w:tcPr>
            <w:tcW w:w="3061" w:type="dxa"/>
          </w:tcPr>
          <w:p w14:paraId="7E2CB79B" w14:textId="77777777" w:rsidR="00EE4942" w:rsidRPr="00E06150" w:rsidRDefault="00EE4942" w:rsidP="00EE4942">
            <w:pPr>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Мова матеріалу</w:t>
            </w:r>
          </w:p>
        </w:tc>
        <w:tc>
          <w:tcPr>
            <w:tcW w:w="6567" w:type="dxa"/>
          </w:tcPr>
          <w:p w14:paraId="148CA0D5" w14:textId="77777777" w:rsidR="00EE4942" w:rsidRPr="00E06150" w:rsidRDefault="00EE4942" w:rsidP="00EE4942">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українська</w:t>
            </w:r>
          </w:p>
        </w:tc>
      </w:tr>
      <w:tr w:rsidR="00EE4942" w:rsidRPr="000470AE" w14:paraId="1C0611D3" w14:textId="77777777" w:rsidTr="00E06150">
        <w:tc>
          <w:tcPr>
            <w:tcW w:w="3061" w:type="dxa"/>
          </w:tcPr>
          <w:p w14:paraId="72267DC6" w14:textId="77777777" w:rsidR="00EE4942" w:rsidRPr="00E06150" w:rsidRDefault="00EE4942" w:rsidP="00EE4942">
            <w:pPr>
              <w:rPr>
                <w:rFonts w:ascii="Times New Roman" w:hAnsi="Times New Roman" w:cs="Times New Roman"/>
                <w:sz w:val="24"/>
                <w:szCs w:val="24"/>
                <w:lang w:val="uk-UA"/>
              </w:rPr>
            </w:pPr>
            <w:r w:rsidRPr="00E06150">
              <w:rPr>
                <w:rFonts w:ascii="Times New Roman" w:hAnsi="Times New Roman" w:cs="Times New Roman"/>
                <w:spacing w:val="-4"/>
                <w:sz w:val="24"/>
                <w:szCs w:val="24"/>
                <w:lang w:val="uk-UA"/>
              </w:rPr>
              <w:t>Ключові слова українською</w:t>
            </w:r>
            <w:r w:rsidRPr="00E06150">
              <w:rPr>
                <w:rFonts w:ascii="Times New Roman" w:hAnsi="Times New Roman" w:cs="Times New Roman"/>
                <w:sz w:val="24"/>
                <w:szCs w:val="24"/>
                <w:lang w:val="uk-UA"/>
              </w:rPr>
              <w:t xml:space="preserve"> </w:t>
            </w:r>
            <w:r w:rsidRPr="00E06150">
              <w:rPr>
                <w:rFonts w:ascii="Times New Roman" w:hAnsi="Times New Roman" w:cs="Times New Roman"/>
                <w:spacing w:val="-12"/>
                <w:sz w:val="24"/>
                <w:szCs w:val="24"/>
                <w:lang w:val="uk-UA"/>
              </w:rPr>
              <w:t>(малими літерами через кому)</w:t>
            </w:r>
          </w:p>
        </w:tc>
        <w:tc>
          <w:tcPr>
            <w:tcW w:w="6567" w:type="dxa"/>
          </w:tcPr>
          <w:p w14:paraId="49B4113C" w14:textId="77777777" w:rsidR="00EE4942" w:rsidRPr="00E06150" w:rsidRDefault="00EE4942" w:rsidP="00EE4942">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нелінійний обмежувач перенапруги, грозові перенапруги, блискавкозахист, наведена напруга, грозовий імпульс струму</w:t>
            </w:r>
          </w:p>
        </w:tc>
      </w:tr>
      <w:tr w:rsidR="00EE4942" w:rsidRPr="00E06150" w14:paraId="50BACE78" w14:textId="77777777" w:rsidTr="00E06150">
        <w:tc>
          <w:tcPr>
            <w:tcW w:w="3061" w:type="dxa"/>
          </w:tcPr>
          <w:p w14:paraId="2FE69C20" w14:textId="77777777" w:rsidR="00EE4942" w:rsidRPr="00E06150" w:rsidRDefault="00EE4942" w:rsidP="00EE4942">
            <w:pPr>
              <w:rPr>
                <w:rFonts w:ascii="Times New Roman" w:hAnsi="Times New Roman" w:cs="Times New Roman"/>
                <w:sz w:val="24"/>
                <w:szCs w:val="24"/>
                <w:lang w:val="uk-UA"/>
              </w:rPr>
            </w:pPr>
            <w:r w:rsidRPr="00E06150">
              <w:rPr>
                <w:rFonts w:ascii="Times New Roman" w:hAnsi="Times New Roman" w:cs="Times New Roman"/>
                <w:spacing w:val="-4"/>
                <w:sz w:val="24"/>
                <w:szCs w:val="24"/>
                <w:lang w:val="uk-UA"/>
              </w:rPr>
              <w:t>Ключові слова англійською</w:t>
            </w:r>
            <w:r w:rsidRPr="00E06150">
              <w:rPr>
                <w:rFonts w:ascii="Times New Roman" w:hAnsi="Times New Roman" w:cs="Times New Roman"/>
                <w:sz w:val="24"/>
                <w:szCs w:val="24"/>
                <w:lang w:val="uk-UA"/>
              </w:rPr>
              <w:t xml:space="preserve"> </w:t>
            </w:r>
            <w:r w:rsidRPr="00E06150">
              <w:rPr>
                <w:rFonts w:ascii="Times New Roman" w:hAnsi="Times New Roman" w:cs="Times New Roman"/>
                <w:spacing w:val="-12"/>
                <w:sz w:val="24"/>
                <w:szCs w:val="24"/>
                <w:lang w:val="uk-UA"/>
              </w:rPr>
              <w:t>(малими літерами через кому)</w:t>
            </w:r>
          </w:p>
        </w:tc>
        <w:tc>
          <w:tcPr>
            <w:tcW w:w="6567" w:type="dxa"/>
          </w:tcPr>
          <w:p w14:paraId="3D00549D" w14:textId="77777777" w:rsidR="00EE4942" w:rsidRPr="00E06150" w:rsidRDefault="00EE4942" w:rsidP="00EE4942">
            <w:pPr>
              <w:jc w:val="both"/>
              <w:rPr>
                <w:rFonts w:ascii="Times New Roman" w:hAnsi="Times New Roman" w:cs="Times New Roman"/>
                <w:color w:val="FF0000"/>
                <w:sz w:val="24"/>
                <w:szCs w:val="24"/>
                <w:lang w:val="uk-UA"/>
              </w:rPr>
            </w:pPr>
            <w:r w:rsidRPr="00E06150">
              <w:rPr>
                <w:rFonts w:ascii="Times New Roman" w:hAnsi="Times New Roman" w:cs="Times New Roman"/>
                <w:color w:val="FF0000"/>
                <w:sz w:val="24"/>
                <w:szCs w:val="24"/>
              </w:rPr>
              <w:t>surge arrester, lightning overvoltage, lightning protection, inducted voltage, lightning impulse current</w:t>
            </w:r>
          </w:p>
        </w:tc>
      </w:tr>
      <w:tr w:rsidR="00EE4942" w:rsidRPr="000470AE" w14:paraId="0923BE3F" w14:textId="77777777" w:rsidTr="00E06150">
        <w:tc>
          <w:tcPr>
            <w:tcW w:w="3061" w:type="dxa"/>
          </w:tcPr>
          <w:p w14:paraId="298FBDB8" w14:textId="77777777" w:rsidR="00EE4942" w:rsidRPr="00E06150" w:rsidRDefault="00EE4942" w:rsidP="00EE4942">
            <w:pPr>
              <w:rPr>
                <w:rFonts w:ascii="Times New Roman" w:hAnsi="Times New Roman" w:cs="Times New Roman"/>
                <w:sz w:val="24"/>
                <w:szCs w:val="24"/>
                <w:lang w:val="uk-UA"/>
              </w:rPr>
            </w:pPr>
            <w:r>
              <w:rPr>
                <w:rFonts w:ascii="Times New Roman" w:hAnsi="Times New Roman" w:cs="Times New Roman"/>
                <w:sz w:val="24"/>
                <w:szCs w:val="24"/>
                <w:lang w:val="uk-UA"/>
              </w:rPr>
              <w:t>Анотація українською</w:t>
            </w:r>
          </w:p>
        </w:tc>
        <w:tc>
          <w:tcPr>
            <w:tcW w:w="6567" w:type="dxa"/>
          </w:tcPr>
          <w:p w14:paraId="0A6DF372" w14:textId="77777777" w:rsidR="00EE4942" w:rsidRDefault="00EE4942" w:rsidP="00EE4942">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 xml:space="preserve">     </w:t>
            </w:r>
            <w:r w:rsidRPr="00E06150">
              <w:rPr>
                <w:rFonts w:ascii="Times New Roman" w:hAnsi="Times New Roman" w:cs="Times New Roman"/>
                <w:color w:val="FF0000"/>
                <w:sz w:val="24"/>
                <w:szCs w:val="24"/>
                <w:lang w:val="uk-UA"/>
              </w:rPr>
              <w:t>Магістерська дисертація складається з пояснювальної записки та графічної частини. Пояснювальна записка виконана на 150 сторінках формату А4, яка включає в себе 129 рисунків, 15 таблиць, 25 джерел використаної літератури. Графічна частина містить 8 аркушів технічних креслень форматом А1.</w:t>
            </w:r>
          </w:p>
          <w:p w14:paraId="37210759" w14:textId="77777777" w:rsidR="00EE4942" w:rsidRPr="00E06150" w:rsidRDefault="00EE4942" w:rsidP="00EE4942">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 xml:space="preserve">     </w:t>
            </w:r>
            <w:r w:rsidRPr="00E06150">
              <w:rPr>
                <w:rFonts w:ascii="Times New Roman" w:hAnsi="Times New Roman" w:cs="Times New Roman"/>
                <w:color w:val="FF0000"/>
                <w:sz w:val="24"/>
                <w:szCs w:val="24"/>
                <w:lang w:val="uk-UA"/>
              </w:rPr>
              <w:t>В дисертації розглянуто процес формування грозових перенапруг, їх вплив на повітряні лінії електропередавання, а також засоби підвищення грозостійкості електричних мереж. Проведено моделювання варіантів встановлення нелінійних обмежувачів перенапруги на повітряних лініях електро</w:t>
            </w:r>
            <w:r>
              <w:rPr>
                <w:rFonts w:ascii="Times New Roman" w:hAnsi="Times New Roman" w:cs="Times New Roman"/>
                <w:color w:val="FF0000"/>
                <w:sz w:val="24"/>
                <w:szCs w:val="24"/>
                <w:lang w:val="uk-UA"/>
              </w:rPr>
              <w:t>-</w:t>
            </w:r>
            <w:r w:rsidRPr="00E06150">
              <w:rPr>
                <w:rFonts w:ascii="Times New Roman" w:hAnsi="Times New Roman" w:cs="Times New Roman"/>
                <w:color w:val="FF0000"/>
                <w:sz w:val="24"/>
                <w:szCs w:val="24"/>
                <w:lang w:val="uk-UA"/>
              </w:rPr>
              <w:t>передавання номінальною напругою 35 та 110 кВ при різних випадках розряду блискавки. Сфор</w:t>
            </w:r>
            <w:r>
              <w:rPr>
                <w:rFonts w:ascii="Times New Roman" w:hAnsi="Times New Roman" w:cs="Times New Roman"/>
                <w:color w:val="FF0000"/>
                <w:sz w:val="24"/>
                <w:szCs w:val="24"/>
                <w:lang w:val="uk-UA"/>
              </w:rPr>
              <w:t xml:space="preserve">мовано рекомендації щодо </w:t>
            </w:r>
            <w:r w:rsidRPr="000302AA">
              <w:rPr>
                <w:rFonts w:ascii="Times New Roman" w:hAnsi="Times New Roman" w:cs="Times New Roman"/>
                <w:color w:val="FF0000"/>
                <w:spacing w:val="-6"/>
                <w:sz w:val="24"/>
                <w:szCs w:val="24"/>
                <w:lang w:val="uk-UA"/>
              </w:rPr>
              <w:t>вибору оптимальних місць встановлення нелінійних обмежувачів</w:t>
            </w:r>
            <w:r w:rsidRPr="00E06150">
              <w:rPr>
                <w:rFonts w:ascii="Times New Roman" w:hAnsi="Times New Roman" w:cs="Times New Roman"/>
                <w:color w:val="FF0000"/>
                <w:sz w:val="24"/>
                <w:szCs w:val="24"/>
                <w:lang w:val="uk-UA"/>
              </w:rPr>
              <w:t xml:space="preserve"> перенапруги для забезпечення захисту електричних мереж від грозових перенапруг.</w:t>
            </w:r>
          </w:p>
        </w:tc>
      </w:tr>
      <w:tr w:rsidR="00EE4942" w:rsidRPr="00E06150" w14:paraId="22114FC0" w14:textId="77777777" w:rsidTr="00E06150">
        <w:tc>
          <w:tcPr>
            <w:tcW w:w="3061" w:type="dxa"/>
          </w:tcPr>
          <w:p w14:paraId="3B46335B" w14:textId="77777777" w:rsidR="00EE4942" w:rsidRPr="00E06150" w:rsidRDefault="00EE4942" w:rsidP="00EE4942">
            <w:pPr>
              <w:rPr>
                <w:rFonts w:ascii="Times New Roman" w:hAnsi="Times New Roman" w:cs="Times New Roman"/>
                <w:sz w:val="24"/>
                <w:szCs w:val="24"/>
                <w:lang w:val="uk-UA"/>
              </w:rPr>
            </w:pPr>
            <w:r>
              <w:rPr>
                <w:rFonts w:ascii="Times New Roman" w:hAnsi="Times New Roman" w:cs="Times New Roman"/>
                <w:sz w:val="24"/>
                <w:szCs w:val="24"/>
                <w:lang w:val="uk-UA"/>
              </w:rPr>
              <w:t>Анотація англійською</w:t>
            </w:r>
          </w:p>
        </w:tc>
        <w:tc>
          <w:tcPr>
            <w:tcW w:w="6567" w:type="dxa"/>
          </w:tcPr>
          <w:p w14:paraId="0F2CF3F1" w14:textId="77777777" w:rsidR="00EE4942" w:rsidRPr="00E06150" w:rsidRDefault="00EE4942" w:rsidP="00EE4942">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 xml:space="preserve">     </w:t>
            </w:r>
            <w:r w:rsidRPr="00E06150">
              <w:rPr>
                <w:rFonts w:ascii="Times New Roman" w:hAnsi="Times New Roman" w:cs="Times New Roman"/>
                <w:color w:val="FF0000"/>
                <w:sz w:val="24"/>
                <w:szCs w:val="24"/>
                <w:lang w:val="uk-UA"/>
              </w:rPr>
              <w:t>Master’s thesis consists of an explanatory note and graphical part. The explanatory note is made up of 150 pages of A4 format; it includes 129 figures, 15 tables, 25 references. The graphical part contains 8 sheets of A1 format technical drawings.</w:t>
            </w:r>
          </w:p>
          <w:p w14:paraId="4A971BC6" w14:textId="77777777" w:rsidR="00EE4942" w:rsidRPr="00E06150" w:rsidRDefault="00EE4942" w:rsidP="00EE4942">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 xml:space="preserve">     </w:t>
            </w:r>
            <w:r w:rsidRPr="00E06150">
              <w:rPr>
                <w:rFonts w:ascii="Times New Roman" w:hAnsi="Times New Roman" w:cs="Times New Roman"/>
                <w:color w:val="FF0000"/>
                <w:sz w:val="24"/>
                <w:szCs w:val="24"/>
                <w:lang w:val="uk-UA"/>
              </w:rPr>
              <w:t>In the thesis the process of formation of lightning overvoltages, their influence on overhead transmission line, as well as means for increasing the lightning resistance of electric networks is considered. Modeling of variants of installation of surge arresters on 35 and 110 kV overhead transmission lines for different cases of lightning discharge is carried out. Recommendations on the selection of the optimal sites for installation surge arresters to protect electrical networks from the lightning overvoltages are formulated.</w:t>
            </w:r>
          </w:p>
        </w:tc>
      </w:tr>
    </w:tbl>
    <w:p w14:paraId="0D2D43E8" w14:textId="77777777" w:rsidR="00D300F8" w:rsidRPr="00D300F8" w:rsidRDefault="00D300F8" w:rsidP="00D300F8">
      <w:pPr>
        <w:jc w:val="center"/>
        <w:rPr>
          <w:rFonts w:ascii="Times New Roman" w:hAnsi="Times New Roman" w:cs="Times New Roman"/>
          <w:sz w:val="28"/>
          <w:szCs w:val="28"/>
          <w:lang w:val="uk-UA"/>
        </w:rPr>
      </w:pPr>
    </w:p>
    <w:sectPr w:rsidR="00D300F8" w:rsidRPr="00D300F8" w:rsidSect="003E7800">
      <w:pgSz w:w="11907" w:h="16840"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0F8"/>
    <w:rsid w:val="000302AA"/>
    <w:rsid w:val="000470AE"/>
    <w:rsid w:val="001035FD"/>
    <w:rsid w:val="001A0C47"/>
    <w:rsid w:val="001F61FF"/>
    <w:rsid w:val="003E7800"/>
    <w:rsid w:val="00A21B4F"/>
    <w:rsid w:val="00B57A15"/>
    <w:rsid w:val="00D300F8"/>
    <w:rsid w:val="00D97846"/>
    <w:rsid w:val="00E06150"/>
    <w:rsid w:val="00EE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CDDD"/>
  <w15:chartTrackingRefBased/>
  <w15:docId w15:val="{469BD42A-5CED-4041-9DB4-406144AB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0C4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0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1714</Words>
  <Characters>978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2018-06-05T16:55:00Z</cp:lastPrinted>
  <dcterms:created xsi:type="dcterms:W3CDTF">2018-06-05T16:30:00Z</dcterms:created>
  <dcterms:modified xsi:type="dcterms:W3CDTF">2021-10-06T16:46:00Z</dcterms:modified>
</cp:coreProperties>
</file>